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2D7E" w:rsidRPr="009C7C0F" w:rsidRDefault="0048302D" w:rsidP="009C7C0F">
      <w:pPr>
        <w:pStyle w:val="Normal1"/>
        <w:pBdr>
          <w:bottom w:val="single" w:sz="4" w:space="1" w:color="auto"/>
        </w:pBdr>
        <w:jc w:val="center"/>
        <w:rPr>
          <w:sz w:val="28"/>
          <w:szCs w:val="28"/>
        </w:rPr>
      </w:pPr>
      <w:r w:rsidRPr="009C7C0F">
        <w:rPr>
          <w:rFonts w:asciiTheme="minorHAnsi" w:hAnsiTheme="minorHAnsi"/>
          <w:b/>
          <w:sz w:val="28"/>
          <w:szCs w:val="28"/>
        </w:rPr>
        <w:t xml:space="preserve">Reading Recovery </w:t>
      </w:r>
      <w:r w:rsidRPr="009C7C0F">
        <w:rPr>
          <w:rFonts w:ascii="Lucida Grande" w:hAnsi="Lucida Grande"/>
          <w:b/>
          <w:sz w:val="28"/>
          <w:szCs w:val="28"/>
        </w:rPr>
        <w:t>©</w:t>
      </w:r>
      <w:r w:rsidRPr="009C7C0F">
        <w:rPr>
          <w:rFonts w:asciiTheme="minorHAnsi" w:hAnsiTheme="minorHAnsi"/>
          <w:b/>
          <w:sz w:val="28"/>
          <w:szCs w:val="28"/>
        </w:rPr>
        <w:t xml:space="preserve"> Expression of Interest 2016/2017</w:t>
      </w:r>
    </w:p>
    <w:p w:rsidR="00A42D7E" w:rsidRPr="0048302D" w:rsidRDefault="0048302D">
      <w:pPr>
        <w:pStyle w:val="Normal1"/>
        <w:rPr>
          <w:rFonts w:asciiTheme="minorHAnsi" w:hAnsiTheme="minorHAnsi"/>
          <w:sz w:val="24"/>
          <w:szCs w:val="24"/>
        </w:rPr>
      </w:pPr>
      <w:r w:rsidRPr="0048302D">
        <w:rPr>
          <w:rFonts w:asciiTheme="minorHAnsi" w:hAnsiTheme="minorHAnsi"/>
          <w:sz w:val="24"/>
          <w:szCs w:val="24"/>
        </w:rPr>
        <w:t xml:space="preserve"> </w:t>
      </w:r>
    </w:p>
    <w:p w:rsidR="00A42D7E" w:rsidRPr="0048302D" w:rsidRDefault="0048302D">
      <w:pPr>
        <w:pStyle w:val="Normal1"/>
        <w:rPr>
          <w:rFonts w:asciiTheme="minorHAnsi" w:hAnsiTheme="minorHAnsi"/>
          <w:sz w:val="24"/>
          <w:szCs w:val="24"/>
        </w:rPr>
      </w:pPr>
      <w:r>
        <w:rPr>
          <w:rFonts w:asciiTheme="minorHAnsi" w:hAnsiTheme="minorHAnsi"/>
          <w:sz w:val="24"/>
          <w:szCs w:val="24"/>
        </w:rPr>
        <w:t xml:space="preserve">Reading Recovery </w:t>
      </w:r>
      <w:r w:rsidRPr="00CD69C8">
        <w:rPr>
          <w:rFonts w:ascii="Lucida Grande" w:hAnsi="Lucida Grande"/>
          <w:b/>
        </w:rPr>
        <w:t>©</w:t>
      </w:r>
      <w:r w:rsidRPr="0048302D">
        <w:rPr>
          <w:rFonts w:asciiTheme="minorHAnsi" w:hAnsiTheme="minorHAnsi"/>
          <w:sz w:val="24"/>
          <w:szCs w:val="24"/>
        </w:rPr>
        <w:t xml:space="preserve"> is a licensed, school-based, short-term, early literacy intervention.  It is designed for children aged around six and who are the lowest literacy achievers after their first year of school. Reading Recovery involves intensive one-to-one lessons for 30 minutes a day with a specially trained Reading Recovery teacher. This series of lessons is individually designed for each child, based on moment by moment observations and effective teacher decisions. The goal is for children to become effective readers and writers, able to work within the average band of their class at age-appropriate levels of literacy. For more information on Reading Recovery go to </w:t>
      </w:r>
      <w:hyperlink r:id="rId7">
        <w:r w:rsidRPr="0048302D">
          <w:rPr>
            <w:rFonts w:asciiTheme="minorHAnsi" w:hAnsiTheme="minorHAnsi"/>
            <w:color w:val="1155CC"/>
            <w:sz w:val="24"/>
            <w:szCs w:val="24"/>
            <w:u w:val="single"/>
          </w:rPr>
          <w:t>www.pdst.ie/readingrecovery</w:t>
        </w:r>
      </w:hyperlink>
    </w:p>
    <w:p w:rsidR="00A42D7E" w:rsidRPr="0048302D" w:rsidRDefault="0048302D">
      <w:pPr>
        <w:pStyle w:val="Normal1"/>
        <w:rPr>
          <w:rFonts w:asciiTheme="minorHAnsi" w:hAnsiTheme="minorHAnsi"/>
          <w:sz w:val="24"/>
          <w:szCs w:val="24"/>
        </w:rPr>
      </w:pPr>
      <w:r w:rsidRPr="0048302D">
        <w:rPr>
          <w:rFonts w:asciiTheme="minorHAnsi" w:hAnsiTheme="minorHAnsi"/>
          <w:sz w:val="24"/>
          <w:szCs w:val="24"/>
        </w:rPr>
        <w:t xml:space="preserve"> </w:t>
      </w:r>
    </w:p>
    <w:p w:rsidR="00A42D7E" w:rsidRPr="0048302D" w:rsidRDefault="0048302D">
      <w:pPr>
        <w:pStyle w:val="Normal1"/>
        <w:rPr>
          <w:rFonts w:asciiTheme="minorHAnsi" w:hAnsiTheme="minorHAnsi"/>
          <w:sz w:val="24"/>
          <w:szCs w:val="24"/>
        </w:rPr>
      </w:pPr>
      <w:r w:rsidRPr="0048302D">
        <w:rPr>
          <w:rFonts w:asciiTheme="minorHAnsi" w:hAnsiTheme="minorHAnsi"/>
          <w:sz w:val="24"/>
          <w:szCs w:val="24"/>
        </w:rPr>
        <w:t xml:space="preserve">The Department of Education and Skills and PDST are inviting schools to </w:t>
      </w:r>
      <w:r w:rsidRPr="0048302D">
        <w:rPr>
          <w:rFonts w:asciiTheme="minorHAnsi" w:hAnsiTheme="minorHAnsi"/>
          <w:b/>
          <w:sz w:val="24"/>
          <w:szCs w:val="24"/>
        </w:rPr>
        <w:t>express interest</w:t>
      </w:r>
      <w:r w:rsidRPr="0048302D">
        <w:rPr>
          <w:rFonts w:asciiTheme="minorHAnsi" w:hAnsiTheme="minorHAnsi"/>
          <w:sz w:val="24"/>
          <w:szCs w:val="24"/>
        </w:rPr>
        <w:t xml:space="preserve"> in participating in the 2016/2017 training programme for this early literacy intervention.  There are approximately 12 training places available in each of the following centres:</w:t>
      </w:r>
    </w:p>
    <w:p w:rsidR="00A42D7E" w:rsidRDefault="0048302D">
      <w:pPr>
        <w:pStyle w:val="Normal1"/>
        <w:rPr>
          <w:rFonts w:asciiTheme="minorHAnsi" w:hAnsiTheme="minorHAnsi"/>
          <w:sz w:val="24"/>
          <w:szCs w:val="24"/>
        </w:rPr>
      </w:pPr>
      <w:r w:rsidRPr="0048302D">
        <w:rPr>
          <w:rFonts w:asciiTheme="minorHAnsi" w:hAnsiTheme="minorHAnsi"/>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9"/>
        <w:gridCol w:w="4510"/>
      </w:tblGrid>
      <w:tr w:rsidR="009C7C0F" w:rsidTr="009C7C0F">
        <w:tc>
          <w:tcPr>
            <w:tcW w:w="4509"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Monaghan Education Centre</w:t>
            </w:r>
          </w:p>
        </w:tc>
        <w:tc>
          <w:tcPr>
            <w:tcW w:w="4510"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Marino Institute of Education</w:t>
            </w:r>
          </w:p>
        </w:tc>
      </w:tr>
      <w:tr w:rsidR="009C7C0F" w:rsidTr="009C7C0F">
        <w:tc>
          <w:tcPr>
            <w:tcW w:w="4509"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Limerick Education Centre</w:t>
            </w:r>
          </w:p>
        </w:tc>
        <w:tc>
          <w:tcPr>
            <w:tcW w:w="4510"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Cork Education Centre</w:t>
            </w:r>
          </w:p>
        </w:tc>
      </w:tr>
      <w:tr w:rsidR="009C7C0F" w:rsidTr="009C7C0F">
        <w:tc>
          <w:tcPr>
            <w:tcW w:w="4509"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Kilkenny Education Centre</w:t>
            </w:r>
          </w:p>
        </w:tc>
        <w:tc>
          <w:tcPr>
            <w:tcW w:w="4510"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Galway Education Centre</w:t>
            </w:r>
          </w:p>
        </w:tc>
      </w:tr>
      <w:tr w:rsidR="009C7C0F" w:rsidTr="009C7C0F">
        <w:tc>
          <w:tcPr>
            <w:tcW w:w="4509" w:type="dxa"/>
          </w:tcPr>
          <w:p w:rsidR="009C7C0F" w:rsidRDefault="009C7C0F" w:rsidP="009C7C0F">
            <w:pPr>
              <w:pStyle w:val="Normal1"/>
              <w:numPr>
                <w:ilvl w:val="0"/>
                <w:numId w:val="3"/>
              </w:numPr>
              <w:rPr>
                <w:rFonts w:asciiTheme="minorHAnsi" w:hAnsiTheme="minorHAnsi"/>
                <w:sz w:val="24"/>
                <w:szCs w:val="24"/>
              </w:rPr>
            </w:pPr>
            <w:r>
              <w:rPr>
                <w:rFonts w:asciiTheme="minorHAnsi" w:hAnsiTheme="minorHAnsi"/>
                <w:sz w:val="24"/>
                <w:szCs w:val="24"/>
              </w:rPr>
              <w:t>Dublin West Education Centre</w:t>
            </w:r>
          </w:p>
        </w:tc>
        <w:tc>
          <w:tcPr>
            <w:tcW w:w="4510" w:type="dxa"/>
          </w:tcPr>
          <w:p w:rsidR="009C7C0F" w:rsidRDefault="009C7C0F" w:rsidP="009C7C0F">
            <w:pPr>
              <w:pStyle w:val="Normal1"/>
              <w:ind w:left="720"/>
              <w:rPr>
                <w:rFonts w:asciiTheme="minorHAnsi" w:hAnsiTheme="minorHAnsi"/>
                <w:sz w:val="24"/>
                <w:szCs w:val="24"/>
              </w:rPr>
            </w:pPr>
          </w:p>
        </w:tc>
      </w:tr>
    </w:tbl>
    <w:p w:rsidR="009C7C0F" w:rsidRPr="0048302D" w:rsidRDefault="009C7C0F">
      <w:pPr>
        <w:pStyle w:val="Normal1"/>
        <w:rPr>
          <w:rFonts w:asciiTheme="minorHAnsi" w:hAnsiTheme="minorHAnsi"/>
          <w:sz w:val="24"/>
          <w:szCs w:val="24"/>
        </w:rPr>
      </w:pPr>
    </w:p>
    <w:p w:rsidR="009C7C0F" w:rsidRDefault="009C7C0F">
      <w:pPr>
        <w:pStyle w:val="Normal1"/>
        <w:rPr>
          <w:rFonts w:asciiTheme="minorHAnsi" w:hAnsiTheme="minorHAnsi"/>
          <w:sz w:val="24"/>
          <w:szCs w:val="24"/>
        </w:rPr>
      </w:pPr>
    </w:p>
    <w:p w:rsidR="00A42D7E" w:rsidRPr="0048302D" w:rsidRDefault="0048302D">
      <w:pPr>
        <w:pStyle w:val="Normal1"/>
        <w:rPr>
          <w:rFonts w:asciiTheme="minorHAnsi" w:hAnsiTheme="minorHAnsi"/>
          <w:sz w:val="24"/>
          <w:szCs w:val="24"/>
        </w:rPr>
      </w:pPr>
      <w:r w:rsidRPr="0048302D">
        <w:rPr>
          <w:rFonts w:asciiTheme="minorHAnsi" w:hAnsiTheme="minorHAnsi"/>
          <w:sz w:val="24"/>
          <w:szCs w:val="24"/>
        </w:rPr>
        <w:t>The following points should be considered before submitting your expression of interest:</w:t>
      </w:r>
    </w:p>
    <w:p w:rsidR="00A42D7E" w:rsidRPr="0048302D" w:rsidRDefault="0048302D">
      <w:pPr>
        <w:pStyle w:val="Normal1"/>
        <w:rPr>
          <w:rFonts w:asciiTheme="minorHAnsi" w:hAnsiTheme="minorHAnsi"/>
          <w:sz w:val="24"/>
          <w:szCs w:val="24"/>
        </w:rPr>
      </w:pPr>
      <w:r w:rsidRPr="0048302D">
        <w:rPr>
          <w:rFonts w:asciiTheme="minorHAnsi" w:hAnsiTheme="minorHAnsi"/>
          <w:sz w:val="24"/>
          <w:szCs w:val="24"/>
        </w:rPr>
        <w:t xml:space="preserve"> </w:t>
      </w:r>
      <w:bookmarkStart w:id="0" w:name="_GoBack"/>
      <w:bookmarkEnd w:id="0"/>
    </w:p>
    <w:p w:rsidR="00A42D7E" w:rsidRPr="0048302D" w:rsidRDefault="0048302D" w:rsidP="0048302D">
      <w:pPr>
        <w:pStyle w:val="Normal1"/>
        <w:numPr>
          <w:ilvl w:val="0"/>
          <w:numId w:val="2"/>
        </w:numPr>
        <w:rPr>
          <w:rFonts w:asciiTheme="minorHAnsi" w:hAnsiTheme="minorHAnsi"/>
          <w:sz w:val="24"/>
          <w:szCs w:val="24"/>
        </w:rPr>
      </w:pPr>
      <w:r w:rsidRPr="0048302D">
        <w:rPr>
          <w:rFonts w:asciiTheme="minorHAnsi" w:hAnsiTheme="minorHAnsi"/>
          <w:sz w:val="24"/>
          <w:szCs w:val="24"/>
        </w:rPr>
        <w:t xml:space="preserve">The time commitment to Reading Recovery during the training year is approximately half of a teacher’s working day. Nominated teachers are expected to travel to their nearest Reading Recovery© centre approximately 22 times during the academic year. </w:t>
      </w:r>
    </w:p>
    <w:p w:rsidR="00A42D7E" w:rsidRPr="0048302D" w:rsidRDefault="0048302D" w:rsidP="0048302D">
      <w:pPr>
        <w:pStyle w:val="Normal1"/>
        <w:numPr>
          <w:ilvl w:val="0"/>
          <w:numId w:val="2"/>
        </w:numPr>
        <w:rPr>
          <w:rFonts w:asciiTheme="minorHAnsi" w:hAnsiTheme="minorHAnsi"/>
          <w:sz w:val="24"/>
          <w:szCs w:val="24"/>
        </w:rPr>
      </w:pPr>
      <w:r w:rsidRPr="0048302D">
        <w:rPr>
          <w:rFonts w:asciiTheme="minorHAnsi" w:hAnsiTheme="minorHAnsi"/>
          <w:sz w:val="24"/>
          <w:szCs w:val="24"/>
        </w:rPr>
        <w:t>No substitution cover is available. Travel and subsistence is covered under the usual DES conditions.</w:t>
      </w:r>
    </w:p>
    <w:p w:rsidR="00A42D7E" w:rsidRPr="0048302D" w:rsidRDefault="0048302D" w:rsidP="0048302D">
      <w:pPr>
        <w:pStyle w:val="Normal1"/>
        <w:numPr>
          <w:ilvl w:val="0"/>
          <w:numId w:val="2"/>
        </w:numPr>
        <w:rPr>
          <w:rFonts w:asciiTheme="minorHAnsi" w:hAnsiTheme="minorHAnsi"/>
          <w:sz w:val="24"/>
          <w:szCs w:val="24"/>
        </w:rPr>
      </w:pPr>
      <w:r w:rsidRPr="0048302D">
        <w:rPr>
          <w:rFonts w:asciiTheme="minorHAnsi" w:hAnsiTheme="minorHAnsi"/>
          <w:sz w:val="24"/>
          <w:szCs w:val="24"/>
        </w:rPr>
        <w:t>In order to maintain an effective high quality implementation and school accreditation, trained Reading Recovery teachers are expected to attend a minimum of six Continuing Professional Development sessions each year.</w:t>
      </w:r>
    </w:p>
    <w:p w:rsidR="00A42D7E" w:rsidRPr="0048302D" w:rsidRDefault="0048302D" w:rsidP="0048302D">
      <w:pPr>
        <w:pStyle w:val="Normal1"/>
        <w:numPr>
          <w:ilvl w:val="0"/>
          <w:numId w:val="2"/>
        </w:numPr>
        <w:rPr>
          <w:rFonts w:asciiTheme="minorHAnsi" w:hAnsiTheme="minorHAnsi"/>
          <w:sz w:val="24"/>
          <w:szCs w:val="24"/>
        </w:rPr>
      </w:pPr>
      <w:r w:rsidRPr="0048302D">
        <w:rPr>
          <w:rFonts w:asciiTheme="minorHAnsi" w:hAnsiTheme="minorHAnsi"/>
          <w:sz w:val="24"/>
          <w:szCs w:val="24"/>
        </w:rPr>
        <w:lastRenderedPageBreak/>
        <w:t>Priority for training is given to DEIS schools. If any training places remain, interested schools may be considered on a case by case basis.</w:t>
      </w:r>
    </w:p>
    <w:p w:rsidR="00A42D7E" w:rsidRPr="0048302D" w:rsidRDefault="0048302D">
      <w:pPr>
        <w:pStyle w:val="Normal1"/>
        <w:ind w:hanging="360"/>
        <w:jc w:val="center"/>
        <w:rPr>
          <w:rFonts w:asciiTheme="minorHAnsi" w:hAnsiTheme="minorHAnsi"/>
          <w:sz w:val="24"/>
          <w:szCs w:val="24"/>
        </w:rPr>
      </w:pPr>
      <w:r w:rsidRPr="0048302D">
        <w:rPr>
          <w:rFonts w:asciiTheme="minorHAnsi" w:hAnsiTheme="minorHAnsi"/>
          <w:sz w:val="24"/>
          <w:szCs w:val="24"/>
        </w:rPr>
        <w:t xml:space="preserve"> </w:t>
      </w:r>
    </w:p>
    <w:p w:rsidR="009C7C0F" w:rsidRDefault="0048302D" w:rsidP="009C7C0F">
      <w:pPr>
        <w:pStyle w:val="Normal1"/>
        <w:ind w:hanging="360"/>
        <w:rPr>
          <w:rFonts w:asciiTheme="minorHAnsi" w:hAnsiTheme="minorHAnsi"/>
          <w:sz w:val="24"/>
          <w:szCs w:val="24"/>
        </w:rPr>
      </w:pPr>
      <w:r w:rsidRPr="0048302D">
        <w:rPr>
          <w:rFonts w:asciiTheme="minorHAnsi" w:hAnsiTheme="minorHAnsi"/>
          <w:sz w:val="24"/>
          <w:szCs w:val="24"/>
        </w:rPr>
        <w:t xml:space="preserve">Should you wish to submit your expression of interest please do so at the following link: </w:t>
      </w:r>
    </w:p>
    <w:p w:rsidR="009C7C0F" w:rsidRDefault="009C7C0F" w:rsidP="009C7C0F">
      <w:pPr>
        <w:pStyle w:val="Normal1"/>
        <w:ind w:hanging="360"/>
        <w:rPr>
          <w:rFonts w:asciiTheme="minorHAnsi" w:hAnsiTheme="minorHAnsi"/>
          <w:sz w:val="24"/>
          <w:szCs w:val="24"/>
        </w:rPr>
      </w:pPr>
    </w:p>
    <w:p w:rsidR="00A42D7E" w:rsidRPr="0048302D" w:rsidRDefault="009C7C0F" w:rsidP="009C7C0F">
      <w:pPr>
        <w:pStyle w:val="Normal1"/>
        <w:ind w:hanging="360"/>
        <w:rPr>
          <w:rFonts w:asciiTheme="minorHAnsi" w:hAnsiTheme="minorHAnsi"/>
          <w:sz w:val="24"/>
          <w:szCs w:val="24"/>
        </w:rPr>
      </w:pPr>
      <w:hyperlink r:id="rId8">
        <w:r w:rsidR="0048302D" w:rsidRPr="0048302D">
          <w:rPr>
            <w:rFonts w:asciiTheme="minorHAnsi" w:hAnsiTheme="minorHAnsi"/>
            <w:color w:val="1155CC"/>
            <w:sz w:val="24"/>
            <w:szCs w:val="24"/>
            <w:u w:val="single"/>
          </w:rPr>
          <w:t>http://www.pdst.ie/ReadingRecoveryExpressionofInterest</w:t>
        </w:r>
      </w:hyperlink>
    </w:p>
    <w:p w:rsidR="009C7C0F" w:rsidRDefault="009C7C0F" w:rsidP="009C7C0F">
      <w:pPr>
        <w:pStyle w:val="Normal1"/>
        <w:ind w:hanging="360"/>
        <w:rPr>
          <w:rFonts w:asciiTheme="minorHAnsi" w:hAnsiTheme="minorHAnsi"/>
          <w:sz w:val="24"/>
          <w:szCs w:val="24"/>
        </w:rPr>
      </w:pPr>
    </w:p>
    <w:p w:rsidR="00A42D7E" w:rsidRPr="0048302D" w:rsidRDefault="0048302D" w:rsidP="009C7C0F">
      <w:pPr>
        <w:pStyle w:val="Normal1"/>
        <w:ind w:hanging="360"/>
        <w:rPr>
          <w:rFonts w:asciiTheme="minorHAnsi" w:hAnsiTheme="minorHAnsi"/>
          <w:sz w:val="24"/>
          <w:szCs w:val="24"/>
        </w:rPr>
      </w:pPr>
      <w:r w:rsidRPr="0048302D">
        <w:rPr>
          <w:rFonts w:asciiTheme="minorHAnsi" w:hAnsiTheme="minorHAnsi"/>
          <w:sz w:val="24"/>
          <w:szCs w:val="24"/>
        </w:rPr>
        <w:t xml:space="preserve">You will then be invited to a Reading Recovery information meeting in </w:t>
      </w:r>
      <w:proofErr w:type="gramStart"/>
      <w:r w:rsidRPr="0048302D">
        <w:rPr>
          <w:rFonts w:asciiTheme="minorHAnsi" w:hAnsiTheme="minorHAnsi"/>
          <w:sz w:val="24"/>
          <w:szCs w:val="24"/>
        </w:rPr>
        <w:t>Spring</w:t>
      </w:r>
      <w:proofErr w:type="gramEnd"/>
      <w:r w:rsidRPr="0048302D">
        <w:rPr>
          <w:rFonts w:asciiTheme="minorHAnsi" w:hAnsiTheme="minorHAnsi"/>
          <w:sz w:val="24"/>
          <w:szCs w:val="24"/>
        </w:rPr>
        <w:t xml:space="preserve"> 2016.</w:t>
      </w:r>
    </w:p>
    <w:p w:rsidR="00A42D7E" w:rsidRPr="0048302D" w:rsidRDefault="0048302D">
      <w:pPr>
        <w:pStyle w:val="Normal1"/>
        <w:ind w:hanging="360"/>
        <w:rPr>
          <w:rFonts w:asciiTheme="minorHAnsi" w:hAnsiTheme="minorHAnsi"/>
          <w:sz w:val="24"/>
          <w:szCs w:val="24"/>
        </w:rPr>
      </w:pPr>
      <w:r w:rsidRPr="0048302D">
        <w:rPr>
          <w:rFonts w:asciiTheme="minorHAnsi" w:hAnsiTheme="minorHAnsi"/>
          <w:sz w:val="24"/>
          <w:szCs w:val="24"/>
        </w:rPr>
        <w:t xml:space="preserve"> </w:t>
      </w:r>
    </w:p>
    <w:p w:rsidR="009C7C0F" w:rsidRDefault="0048302D" w:rsidP="009C7C0F">
      <w:pPr>
        <w:pStyle w:val="Normal1"/>
        <w:ind w:hanging="360"/>
        <w:jc w:val="both"/>
        <w:rPr>
          <w:rFonts w:asciiTheme="minorHAnsi" w:hAnsiTheme="minorHAnsi"/>
          <w:b/>
          <w:sz w:val="24"/>
          <w:szCs w:val="24"/>
        </w:rPr>
      </w:pPr>
      <w:r w:rsidRPr="0048302D">
        <w:rPr>
          <w:rFonts w:asciiTheme="minorHAnsi" w:hAnsiTheme="minorHAnsi"/>
          <w:b/>
          <w:sz w:val="24"/>
          <w:szCs w:val="24"/>
        </w:rPr>
        <w:t>Please note:  Receipt of an expression of intere</w:t>
      </w:r>
      <w:r w:rsidR="009C7C0F">
        <w:rPr>
          <w:rFonts w:asciiTheme="minorHAnsi" w:hAnsiTheme="minorHAnsi"/>
          <w:b/>
          <w:sz w:val="24"/>
          <w:szCs w:val="24"/>
        </w:rPr>
        <w:t>st and subsequent attendance at</w:t>
      </w:r>
    </w:p>
    <w:p w:rsidR="009C7C0F" w:rsidRDefault="0048302D" w:rsidP="009C7C0F">
      <w:pPr>
        <w:pStyle w:val="Normal1"/>
        <w:ind w:hanging="360"/>
        <w:jc w:val="both"/>
        <w:rPr>
          <w:rFonts w:asciiTheme="minorHAnsi" w:hAnsiTheme="minorHAnsi"/>
          <w:b/>
          <w:sz w:val="24"/>
          <w:szCs w:val="24"/>
        </w:rPr>
      </w:pPr>
      <w:r w:rsidRPr="0048302D">
        <w:rPr>
          <w:rFonts w:asciiTheme="minorHAnsi" w:hAnsiTheme="minorHAnsi"/>
          <w:b/>
          <w:sz w:val="24"/>
          <w:szCs w:val="24"/>
        </w:rPr>
        <w:t>information meetings are NOT a guarantee of a pl</w:t>
      </w:r>
      <w:r w:rsidR="009C7C0F">
        <w:rPr>
          <w:rFonts w:asciiTheme="minorHAnsi" w:hAnsiTheme="minorHAnsi"/>
          <w:b/>
          <w:sz w:val="24"/>
          <w:szCs w:val="24"/>
        </w:rPr>
        <w:t>ace in the programme due to the</w:t>
      </w:r>
    </w:p>
    <w:p w:rsidR="009C7C0F" w:rsidRDefault="0048302D" w:rsidP="009C7C0F">
      <w:pPr>
        <w:pStyle w:val="Normal1"/>
        <w:ind w:hanging="360"/>
        <w:jc w:val="both"/>
        <w:rPr>
          <w:rFonts w:asciiTheme="minorHAnsi" w:hAnsiTheme="minorHAnsi"/>
          <w:sz w:val="24"/>
          <w:szCs w:val="24"/>
        </w:rPr>
      </w:pPr>
      <w:proofErr w:type="gramStart"/>
      <w:r w:rsidRPr="0048302D">
        <w:rPr>
          <w:rFonts w:asciiTheme="minorHAnsi" w:hAnsiTheme="minorHAnsi"/>
          <w:b/>
          <w:sz w:val="24"/>
          <w:szCs w:val="24"/>
        </w:rPr>
        <w:t>limited</w:t>
      </w:r>
      <w:proofErr w:type="gramEnd"/>
      <w:r w:rsidRPr="0048302D">
        <w:rPr>
          <w:rFonts w:asciiTheme="minorHAnsi" w:hAnsiTheme="minorHAnsi"/>
          <w:b/>
          <w:sz w:val="24"/>
          <w:szCs w:val="24"/>
        </w:rPr>
        <w:t xml:space="preserve"> places available</w:t>
      </w:r>
      <w:r w:rsidR="009C7C0F">
        <w:rPr>
          <w:rFonts w:asciiTheme="minorHAnsi" w:hAnsiTheme="minorHAnsi"/>
          <w:b/>
          <w:sz w:val="24"/>
          <w:szCs w:val="24"/>
        </w:rPr>
        <w:t>.</w:t>
      </w:r>
      <w:r w:rsidRPr="0048302D">
        <w:rPr>
          <w:rFonts w:asciiTheme="minorHAnsi" w:hAnsiTheme="minorHAnsi"/>
          <w:sz w:val="24"/>
          <w:szCs w:val="24"/>
        </w:rPr>
        <w:t xml:space="preserve"> </w:t>
      </w:r>
    </w:p>
    <w:p w:rsidR="009C7C0F" w:rsidRDefault="009C7C0F" w:rsidP="009C7C0F">
      <w:pPr>
        <w:pStyle w:val="Normal1"/>
        <w:ind w:hanging="360"/>
        <w:jc w:val="both"/>
        <w:rPr>
          <w:rFonts w:asciiTheme="minorHAnsi" w:hAnsiTheme="minorHAnsi"/>
          <w:sz w:val="24"/>
          <w:szCs w:val="24"/>
        </w:rPr>
      </w:pPr>
    </w:p>
    <w:p w:rsidR="00A42D7E" w:rsidRPr="0048302D" w:rsidRDefault="0048302D" w:rsidP="009C7C0F">
      <w:pPr>
        <w:pStyle w:val="Normal1"/>
        <w:ind w:hanging="360"/>
        <w:jc w:val="both"/>
        <w:rPr>
          <w:rFonts w:asciiTheme="minorHAnsi" w:hAnsiTheme="minorHAnsi"/>
          <w:sz w:val="24"/>
          <w:szCs w:val="24"/>
        </w:rPr>
      </w:pPr>
      <w:r w:rsidRPr="0048302D">
        <w:rPr>
          <w:rFonts w:asciiTheme="minorHAnsi" w:hAnsiTheme="minorHAnsi"/>
          <w:sz w:val="24"/>
          <w:szCs w:val="24"/>
        </w:rPr>
        <w:t>Closing date for submission is</w:t>
      </w:r>
      <w:r w:rsidRPr="0048302D">
        <w:rPr>
          <w:rFonts w:asciiTheme="minorHAnsi" w:hAnsiTheme="minorHAnsi"/>
          <w:b/>
          <w:sz w:val="24"/>
          <w:szCs w:val="24"/>
        </w:rPr>
        <w:t xml:space="preserve"> Friday 26th February</w:t>
      </w:r>
      <w:r w:rsidRPr="0048302D">
        <w:rPr>
          <w:rFonts w:asciiTheme="minorHAnsi" w:hAnsiTheme="minorHAnsi"/>
          <w:sz w:val="24"/>
          <w:szCs w:val="24"/>
        </w:rPr>
        <w:t>.</w:t>
      </w:r>
    </w:p>
    <w:p w:rsidR="00A42D7E" w:rsidRPr="0048302D" w:rsidRDefault="00A42D7E">
      <w:pPr>
        <w:pStyle w:val="Normal1"/>
        <w:rPr>
          <w:rFonts w:asciiTheme="minorHAnsi" w:hAnsiTheme="minorHAnsi"/>
          <w:sz w:val="24"/>
          <w:szCs w:val="24"/>
        </w:rPr>
      </w:pPr>
    </w:p>
    <w:sectPr w:rsidR="00A42D7E" w:rsidRPr="0048302D">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0F" w:rsidRDefault="009C7C0F" w:rsidP="009C7C0F">
      <w:pPr>
        <w:spacing w:line="240" w:lineRule="auto"/>
      </w:pPr>
      <w:r>
        <w:separator/>
      </w:r>
    </w:p>
  </w:endnote>
  <w:endnote w:type="continuationSeparator" w:id="0">
    <w:p w:rsidR="009C7C0F" w:rsidRDefault="009C7C0F" w:rsidP="009C7C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0F" w:rsidRDefault="009C7C0F" w:rsidP="009C7C0F">
      <w:pPr>
        <w:spacing w:line="240" w:lineRule="auto"/>
      </w:pPr>
      <w:r>
        <w:separator/>
      </w:r>
    </w:p>
  </w:footnote>
  <w:footnote w:type="continuationSeparator" w:id="0">
    <w:p w:rsidR="009C7C0F" w:rsidRDefault="009C7C0F" w:rsidP="009C7C0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7C0F" w:rsidRDefault="009C7C0F" w:rsidP="009C7C0F">
    <w:pPr>
      <w:pStyle w:val="Header"/>
      <w:jc w:val="center"/>
    </w:pPr>
    <w:r>
      <w:rPr>
        <w:noProof/>
        <w:lang w:eastAsia="en-IE"/>
      </w:rPr>
      <w:drawing>
        <wp:inline distT="0" distB="0" distL="0" distR="0">
          <wp:extent cx="2914015" cy="14191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DST_Bilingual 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2941161" cy="143241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E0F77"/>
    <w:multiLevelType w:val="hybridMultilevel"/>
    <w:tmpl w:val="F4727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F293F"/>
    <w:multiLevelType w:val="hybridMultilevel"/>
    <w:tmpl w:val="337EE8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5F12F74"/>
    <w:multiLevelType w:val="hybridMultilevel"/>
    <w:tmpl w:val="56BAA5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D7E"/>
    <w:rsid w:val="0048302D"/>
    <w:rsid w:val="00954EBC"/>
    <w:rsid w:val="009C7C0F"/>
    <w:rsid w:val="00A42D7E"/>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3A4127D-CBBA-432B-956F-9DE51941C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I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48302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8302D"/>
    <w:rPr>
      <w:rFonts w:ascii="Lucida Grande" w:hAnsi="Lucida Grande"/>
      <w:sz w:val="18"/>
      <w:szCs w:val="18"/>
    </w:rPr>
  </w:style>
  <w:style w:type="paragraph" w:styleId="Header">
    <w:name w:val="header"/>
    <w:basedOn w:val="Normal"/>
    <w:link w:val="HeaderChar"/>
    <w:uiPriority w:val="99"/>
    <w:unhideWhenUsed/>
    <w:rsid w:val="009C7C0F"/>
    <w:pPr>
      <w:tabs>
        <w:tab w:val="center" w:pos="4513"/>
        <w:tab w:val="right" w:pos="9026"/>
      </w:tabs>
      <w:spacing w:line="240" w:lineRule="auto"/>
    </w:pPr>
  </w:style>
  <w:style w:type="character" w:customStyle="1" w:styleId="HeaderChar">
    <w:name w:val="Header Char"/>
    <w:basedOn w:val="DefaultParagraphFont"/>
    <w:link w:val="Header"/>
    <w:uiPriority w:val="99"/>
    <w:rsid w:val="009C7C0F"/>
  </w:style>
  <w:style w:type="paragraph" w:styleId="Footer">
    <w:name w:val="footer"/>
    <w:basedOn w:val="Normal"/>
    <w:link w:val="FooterChar"/>
    <w:uiPriority w:val="99"/>
    <w:unhideWhenUsed/>
    <w:rsid w:val="009C7C0F"/>
    <w:pPr>
      <w:tabs>
        <w:tab w:val="center" w:pos="4513"/>
        <w:tab w:val="right" w:pos="9026"/>
      </w:tabs>
      <w:spacing w:line="240" w:lineRule="auto"/>
    </w:pPr>
  </w:style>
  <w:style w:type="character" w:customStyle="1" w:styleId="FooterChar">
    <w:name w:val="Footer Char"/>
    <w:basedOn w:val="DefaultParagraphFont"/>
    <w:link w:val="Footer"/>
    <w:uiPriority w:val="99"/>
    <w:rsid w:val="009C7C0F"/>
  </w:style>
  <w:style w:type="table" w:styleId="TableGrid">
    <w:name w:val="Table Grid"/>
    <w:basedOn w:val="TableNormal"/>
    <w:uiPriority w:val="59"/>
    <w:rsid w:val="009C7C0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dst.ie/ReadingRecoveryExpressionofInterest" TargetMode="External"/><Relationship Id="rId3" Type="http://schemas.openxmlformats.org/officeDocument/2006/relationships/settings" Target="settings.xml"/><Relationship Id="rId7" Type="http://schemas.openxmlformats.org/officeDocument/2006/relationships/hyperlink" Target="http://www.pdst.ie/readingrecove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PDST</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Áine Duffy</dc:creator>
  <cp:lastModifiedBy>Áine Duffy</cp:lastModifiedBy>
  <cp:revision>3</cp:revision>
  <dcterms:created xsi:type="dcterms:W3CDTF">2016-01-25T09:51:00Z</dcterms:created>
  <dcterms:modified xsi:type="dcterms:W3CDTF">2016-01-25T09:57:00Z</dcterms:modified>
</cp:coreProperties>
</file>